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 Feb–03 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bookmarkStart w:id="4" w:name="_GoBack"/>
      <w:bookmarkEnd w:id="4"/>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Unified TCI for DL and UL</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highlight w:val="none"/>
        </w:rPr>
        <w:tab/>
      </w:r>
      <w:r>
        <w:rPr>
          <w:rFonts w:hint="eastAsia" w:eastAsia="宋体"/>
          <w:color w:val="auto"/>
          <w:sz w:val="24"/>
          <w:highlight w:val="none"/>
          <w:lang w:val="en-US" w:eastAsia="zh-CN"/>
        </w:rPr>
        <w:t>10.19.3.1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impact for unified TCI in FeMIMO was approved in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numPr>
                <w:ilvl w:val="0"/>
                <w:numId w:val="0"/>
              </w:numPr>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UL TCI state switching delay in separate UL/DL mode</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rFonts w:eastAsiaTheme="minorEastAsia"/>
                <w:lang w:eastAsia="zh-CN"/>
              </w:rPr>
            </w:pPr>
            <w:r>
              <w:rPr>
                <w:rFonts w:eastAsiaTheme="minorEastAsia"/>
                <w:lang w:eastAsia="zh-CN"/>
              </w:rPr>
              <w:t xml:space="preserve">Known TCI case: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lang w:eastAsia="ja-JP"/>
              </w:rPr>
              <w:t>NM is equal to 1 if PL-RS is not maintained, and equal to 0 otherwise</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lang w:eastAsia="ja-JP"/>
              </w:rPr>
              <w:t>FFS whether NM is allowed to be equal to 1 in Rel-17 specification</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rFonts w:eastAsiaTheme="minorEastAsia"/>
                <w:lang w:eastAsia="zh-CN"/>
              </w:rPr>
            </w:pPr>
            <w:r>
              <w:rPr>
                <w:rFonts w:eastAsiaTheme="minorEastAsia"/>
                <w:lang w:eastAsia="zh-CN"/>
              </w:rPr>
              <w:t xml:space="preserve">Unknown TCI case: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T</w:t>
            </w:r>
            <w:r>
              <w:rPr>
                <w:rFonts w:eastAsia="Times New Roman"/>
                <w:bCs/>
                <w:szCs w:val="21"/>
                <w:vertAlign w:val="subscript"/>
              </w:rPr>
              <w:t xml:space="preserve">L1-RSRP </w:t>
            </w:r>
            <w:r>
              <w:rPr>
                <w:rFonts w:eastAsia="Times New Roman"/>
                <w:bCs/>
                <w:szCs w:val="21"/>
              </w:rPr>
              <w:t>+ (T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rFonts w:eastAsia="Times New Roman"/>
                <w:bCs/>
                <w:szCs w:val="21"/>
              </w:rPr>
              <w:t>Requirements will be defined for beam alignment case</w:t>
            </w:r>
          </w:p>
          <w:p>
            <w:pPr>
              <w:keepNext w:val="0"/>
              <w:keepLines w:val="0"/>
              <w:pageBreakBefore w:val="0"/>
              <w:numPr>
                <w:ilvl w:val="0"/>
                <w:numId w:val="0"/>
              </w:numPr>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MAC-CE based joint UL and DL TCI state switching delay</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lang w:eastAsia="ja-JP"/>
              </w:rPr>
            </w:pPr>
            <w:r>
              <w:rPr>
                <w:lang w:val="sv-SE"/>
              </w:rPr>
              <w:t xml:space="preserve">No extra requirement needed for </w:t>
            </w:r>
            <w:r>
              <w:rPr>
                <w:rFonts w:eastAsiaTheme="minorEastAsia"/>
              </w:rPr>
              <w:t xml:space="preserve">Joint TCI mode, </w:t>
            </w:r>
            <w:r>
              <w:rPr>
                <w:rFonts w:eastAsia="Calibri"/>
              </w:rPr>
              <w:t>DL and UL requirements can be applicable independently</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rFonts w:eastAsia="Calibri"/>
              </w:rPr>
              <w:t>Note: it is not expected that UE will be required to make DL reception or UL transmission before UE completes the DL or UL TCI state switching, respectively</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eastAsia="ja-JP"/>
              </w:rPr>
            </w:pPr>
            <w:r>
              <w:rPr>
                <w:rFonts w:eastAsia="Calibri"/>
              </w:rPr>
              <w:t xml:space="preserve">FFS for test procedure for </w:t>
            </w:r>
            <w:r>
              <w:rPr>
                <w:rFonts w:eastAsiaTheme="minorEastAsia"/>
              </w:rPr>
              <w:t>Joint TCI mode</w:t>
            </w:r>
          </w:p>
          <w:p>
            <w:pPr>
              <w:pStyle w:val="28"/>
              <w:keepNext w:val="0"/>
              <w:keepLines w:val="0"/>
              <w:pageBreakBefore w:val="0"/>
              <w:numPr>
                <w:ilvl w:val="0"/>
                <w:numId w:val="0"/>
              </w:numPr>
              <w:kinsoku/>
              <w:wordWrap/>
              <w:overflowPunct/>
              <w:topLinePunct w:val="0"/>
              <w:autoSpaceDE/>
              <w:autoSpaceDN/>
              <w:bidi w:val="0"/>
              <w:adjustRightInd/>
              <w:snapToGrid/>
              <w:textAlignment w:val="auto"/>
              <w:rPr>
                <w:b/>
                <w:bCs/>
                <w:lang w:val="sv-SE"/>
              </w:rPr>
            </w:pPr>
            <w:r>
              <w:rPr>
                <w:b/>
                <w:bCs/>
                <w:lang w:val="sv-SE"/>
              </w:rPr>
              <w:t>Switching delay requirements for unified TCI associated with SC</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For TCI known case, the MAC CE based uplink TCI switching delay requirement is specified as </w:t>
            </w:r>
          </w:p>
          <w:p>
            <w:pPr>
              <w:pStyle w:val="28"/>
              <w:keepNext w:val="0"/>
              <w:keepLines w:val="0"/>
              <w:pageBreakBefore w:val="0"/>
              <w:kinsoku/>
              <w:wordWrap/>
              <w:overflowPunct/>
              <w:topLinePunct w:val="0"/>
              <w:autoSpaceDE/>
              <w:autoSpaceDN/>
              <w:bidi w:val="0"/>
              <w:adjustRightInd/>
              <w:snapToGrid/>
              <w:ind w:left="1580" w:firstLine="0" w:firstLineChars="0"/>
              <w:textAlignment w:val="auto"/>
              <w:rPr>
                <w:rFonts w:eastAsia="Times New Roman"/>
                <w:bCs/>
                <w:i/>
                <w:szCs w:val="21"/>
              </w:rPr>
            </w:pPr>
            <w:r>
              <w:rPr>
                <w:rFonts w:eastAsia="Times New Roman"/>
                <w:bCs/>
                <w:i/>
                <w:szCs w:val="21"/>
              </w:rPr>
              <w:t>T</w:t>
            </w:r>
            <w:r>
              <w:rPr>
                <w:rFonts w:eastAsia="Times New Roman"/>
                <w:bCs/>
                <w:i/>
                <w:szCs w:val="21"/>
                <w:vertAlign w:val="subscript"/>
              </w:rPr>
              <w:t>HARQ</w:t>
            </w:r>
            <w:r>
              <w:rPr>
                <w:rFonts w:eastAsia="Times New Roman"/>
                <w:bCs/>
                <w:i/>
                <w:szCs w:val="21"/>
              </w:rPr>
              <w:t xml:space="preserve"> + 3ms + NM*(T</w:t>
            </w:r>
            <w:r>
              <w:rPr>
                <w:rFonts w:eastAsia="Times New Roman"/>
                <w:bCs/>
                <w:i/>
                <w:szCs w:val="21"/>
                <w:vertAlign w:val="subscript"/>
              </w:rPr>
              <w:t xml:space="preserve">first_target-PL-RS </w:t>
            </w:r>
            <w:r>
              <w:rPr>
                <w:rFonts w:eastAsia="Times New Roman"/>
                <w:bCs/>
                <w:i/>
                <w:szCs w:val="21"/>
              </w:rPr>
              <w:t>+ 4*T</w:t>
            </w:r>
            <w:r>
              <w:rPr>
                <w:rFonts w:eastAsia="Times New Roman"/>
                <w:bCs/>
                <w:i/>
                <w:szCs w:val="21"/>
                <w:vertAlign w:val="subscript"/>
              </w:rPr>
              <w:t xml:space="preserve">target_PL-RS </w:t>
            </w:r>
            <w:r>
              <w:rPr>
                <w:rFonts w:eastAsia="Times New Roman"/>
                <w:bCs/>
                <w:i/>
                <w:szCs w:val="21"/>
              </w:rPr>
              <w:t>+ 2ms)</w:t>
            </w:r>
          </w:p>
          <w:p>
            <w:pPr>
              <w:pStyle w:val="28"/>
              <w:keepNext w:val="0"/>
              <w:keepLines w:val="0"/>
              <w:pageBreakBefore w:val="0"/>
              <w:kinsoku/>
              <w:wordWrap/>
              <w:overflowPunct/>
              <w:topLinePunct w:val="0"/>
              <w:autoSpaceDE/>
              <w:autoSpaceDN/>
              <w:bidi w:val="0"/>
              <w:adjustRightInd/>
              <w:snapToGrid/>
              <w:ind w:left="1580" w:firstLine="0" w:firstLineChars="0"/>
              <w:textAlignment w:val="auto"/>
              <w:rPr>
                <w:rFonts w:eastAsiaTheme="minorEastAsia"/>
                <w:bCs/>
                <w:szCs w:val="21"/>
                <w:lang w:eastAsia="zh-CN"/>
              </w:rPr>
            </w:pPr>
            <w:r>
              <w:rPr>
                <w:rFonts w:hint="eastAsia" w:eastAsiaTheme="minorEastAsia"/>
                <w:bCs/>
                <w:szCs w:val="21"/>
                <w:lang w:eastAsia="zh-CN"/>
              </w:rPr>
              <w:t>W</w:t>
            </w:r>
            <w:r>
              <w:rPr>
                <w:rFonts w:eastAsiaTheme="minorEastAsia"/>
                <w:bCs/>
                <w:szCs w:val="21"/>
                <w:lang w:eastAsia="zh-CN"/>
              </w:rPr>
              <w:t>here</w:t>
            </w:r>
          </w:p>
          <w:p>
            <w:pPr>
              <w:pStyle w:val="28"/>
              <w:keepNext w:val="0"/>
              <w:keepLines w:val="0"/>
              <w:pageBreakBefore w:val="0"/>
              <w:kinsoku/>
              <w:wordWrap/>
              <w:overflowPunct/>
              <w:topLinePunct w:val="0"/>
              <w:autoSpaceDE/>
              <w:autoSpaceDN/>
              <w:bidi w:val="0"/>
              <w:adjustRightInd/>
              <w:snapToGrid/>
              <w:ind w:left="1780" w:leftChars="890" w:firstLine="0" w:firstLineChars="0"/>
              <w:textAlignment w:val="auto"/>
              <w:rPr>
                <w:rFonts w:eastAsia="Times New Roman"/>
                <w:bCs/>
                <w:szCs w:val="21"/>
              </w:rPr>
            </w:pPr>
            <w:r>
              <w:rPr>
                <w:lang w:eastAsia="zh-CN"/>
              </w:rPr>
              <w:t>NM</w:t>
            </w:r>
            <w:r>
              <w:rPr>
                <w:vertAlign w:val="subscript"/>
                <w:lang w:eastAsia="zh-CN"/>
              </w:rPr>
              <w:t xml:space="preserve"> </w:t>
            </w:r>
            <w:r>
              <w:rPr>
                <w:lang w:eastAsia="zh-CN"/>
              </w:rPr>
              <w:t>= 1, if the target PL-RS is not maintained by the UE, 0 otherwise</w:t>
            </w:r>
            <w:r>
              <w:rPr>
                <w:rFonts w:eastAsia="Times New Roman"/>
                <w:bCs/>
                <w:szCs w:val="21"/>
              </w:rPr>
              <w:t xml:space="preserv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For TCI unknow case, MAC CE based uplink TCI switching delay requirement is specified as </w:t>
            </w:r>
          </w:p>
          <w:p>
            <w:pPr>
              <w:pStyle w:val="28"/>
              <w:keepNext w:val="0"/>
              <w:keepLines w:val="0"/>
              <w:pageBreakBefore w:val="0"/>
              <w:kinsoku/>
              <w:wordWrap/>
              <w:overflowPunct/>
              <w:topLinePunct w:val="0"/>
              <w:autoSpaceDE/>
              <w:autoSpaceDN/>
              <w:bidi w:val="0"/>
              <w:adjustRightInd/>
              <w:snapToGrid/>
              <w:ind w:left="1800" w:firstLine="0" w:firstLineChars="0"/>
              <w:textAlignment w:val="auto"/>
              <w:rPr>
                <w:rFonts w:eastAsia="Times New Roman"/>
                <w:bCs/>
                <w:i/>
                <w:szCs w:val="21"/>
              </w:rPr>
            </w:pPr>
            <w:r>
              <w:rPr>
                <w:rFonts w:eastAsia="Times New Roman"/>
                <w:bCs/>
                <w:i/>
                <w:szCs w:val="21"/>
              </w:rPr>
              <w:t>T</w:t>
            </w:r>
            <w:r>
              <w:rPr>
                <w:rFonts w:eastAsia="Times New Roman"/>
                <w:bCs/>
                <w:i/>
                <w:szCs w:val="21"/>
                <w:vertAlign w:val="subscript"/>
              </w:rPr>
              <w:t>HARQ</w:t>
            </w:r>
            <w:r>
              <w:rPr>
                <w:rFonts w:eastAsia="Times New Roman"/>
                <w:bCs/>
                <w:i/>
                <w:szCs w:val="21"/>
              </w:rPr>
              <w:t xml:space="preserve"> + 3ms + T</w:t>
            </w:r>
            <w:r>
              <w:rPr>
                <w:rFonts w:eastAsia="Times New Roman"/>
                <w:bCs/>
                <w:i/>
                <w:szCs w:val="21"/>
                <w:vertAlign w:val="subscript"/>
              </w:rPr>
              <w:t xml:space="preserve">L1-RSRP </w:t>
            </w:r>
            <w:r>
              <w:rPr>
                <w:rFonts w:eastAsia="Times New Roman"/>
                <w:bCs/>
                <w:i/>
                <w:szCs w:val="21"/>
              </w:rPr>
              <w:t>+ (T</w:t>
            </w:r>
            <w:r>
              <w:rPr>
                <w:rFonts w:eastAsia="Times New Roman"/>
                <w:bCs/>
                <w:i/>
                <w:szCs w:val="21"/>
                <w:vertAlign w:val="subscript"/>
              </w:rPr>
              <w:t xml:space="preserve">first_target-PL-RS </w:t>
            </w:r>
            <w:r>
              <w:rPr>
                <w:rFonts w:eastAsia="Times New Roman"/>
                <w:bCs/>
                <w:i/>
                <w:szCs w:val="21"/>
              </w:rPr>
              <w:t>+ 4*T</w:t>
            </w:r>
            <w:r>
              <w:rPr>
                <w:rFonts w:eastAsia="Times New Roman"/>
                <w:bCs/>
                <w:i/>
                <w:szCs w:val="21"/>
                <w:vertAlign w:val="subscript"/>
              </w:rPr>
              <w:t xml:space="preserve">target_PL-RS </w:t>
            </w:r>
            <w:r>
              <w:rPr>
                <w:rFonts w:eastAsia="Times New Roman"/>
                <w:bCs/>
                <w:i/>
                <w:szCs w:val="21"/>
              </w:rPr>
              <w:t xml:space="preserve">+ 2ms)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RAN4 will further study and confirm the below beam alignment defination as applicability scenario for uplink TCI switching requirements</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lang w:val="sv-SE"/>
              </w:rPr>
            </w:pPr>
            <w:r>
              <w:rPr>
                <w:lang w:val="sv-SE"/>
              </w:rPr>
              <w:t>If PL-RS is included in UL TCI or joint TCI, PL-RS is identical to the source RS in UL or joint TCI</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lang w:val="sv-SE"/>
              </w:rPr>
            </w:pPr>
            <w:r>
              <w:rPr>
                <w:lang w:val="sv-SE"/>
              </w:rPr>
              <w:t>If PL-RS is associated UL TCI or joint TCI, PL-RS and source RS in UL or joint TCI is QCL-Type D.</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eastAsia="zh-CN"/>
              </w:rPr>
              <w:t>It is common understanding that TCI state switching delay requirement can be defined for UL TCI and DL TCI switching respectively</w:t>
            </w:r>
            <w:r>
              <w:rPr>
                <w:lang w:val="sv-SE"/>
              </w:rPr>
              <w:t xml:space="preserv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RAN4 will further study if MAC-CE based TCI state-pair indication requirement will be specified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RAN4 is to specified DCI based DL/UL TCI state switch delay for unified TCI based on RAN1 agreements on beam application time (BAT) . FFS on detailed wording to be included in specification.</w:t>
            </w:r>
          </w:p>
          <w:p>
            <w:pPr>
              <w:pStyle w:val="28"/>
              <w:keepNext w:val="0"/>
              <w:keepLines w:val="0"/>
              <w:pageBreakBefore w:val="0"/>
              <w:numPr>
                <w:ilvl w:val="0"/>
                <w:numId w:val="0"/>
              </w:numPr>
              <w:kinsoku/>
              <w:wordWrap/>
              <w:overflowPunct/>
              <w:topLinePunct w:val="0"/>
              <w:autoSpaceDE/>
              <w:autoSpaceDN/>
              <w:bidi w:val="0"/>
              <w:adjustRightInd/>
              <w:snapToGrid/>
              <w:textAlignment w:val="auto"/>
              <w:rPr>
                <w:b/>
                <w:bCs/>
                <w:lang w:val="sv-SE"/>
              </w:rPr>
            </w:pPr>
            <w:r>
              <w:rPr>
                <w:b/>
                <w:bCs/>
                <w:lang w:val="sv-SE"/>
              </w:rPr>
              <w:t>Switching delay requirements for unified TCI associated with ”NSC”</w:t>
            </w:r>
          </w:p>
          <w:p>
            <w:pPr>
              <w:pStyle w:val="28"/>
              <w:keepNext w:val="0"/>
              <w:keepLines w:val="0"/>
              <w:pageBreakBefore w:val="0"/>
              <w:numPr>
                <w:ilvl w:val="1"/>
                <w:numId w:val="4"/>
              </w:numPr>
              <w:kinsoku/>
              <w:wordWrap/>
              <w:overflowPunct/>
              <w:topLinePunct w:val="0"/>
              <w:autoSpaceDE/>
              <w:autoSpaceDN/>
              <w:bidi w:val="0"/>
              <w:adjustRightInd/>
              <w:snapToGrid/>
              <w:ind w:left="1440" w:firstLineChars="0"/>
              <w:textAlignment w:val="auto"/>
              <w:rPr>
                <w:rFonts w:eastAsia="Times New Roman"/>
                <w:bCs/>
                <w:szCs w:val="21"/>
                <w:lang w:val="sv-SE"/>
              </w:rPr>
            </w:pPr>
            <w:r>
              <w:rPr>
                <w:rFonts w:hint="eastAsia" w:eastAsiaTheme="minorEastAsia"/>
                <w:bCs/>
                <w:szCs w:val="21"/>
                <w:lang w:val="sv-SE" w:eastAsia="zh-CN"/>
              </w:rPr>
              <w:t>N</w:t>
            </w:r>
            <w:r>
              <w:rPr>
                <w:rFonts w:eastAsiaTheme="minorEastAsia"/>
                <w:bCs/>
                <w:szCs w:val="21"/>
                <w:lang w:val="sv-SE" w:eastAsia="zh-CN"/>
              </w:rPr>
              <w:t xml:space="preserve">SC in TCI switching delay will be specified as </w:t>
            </w:r>
            <w:r>
              <w:rPr>
                <w:rFonts w:hint="eastAsia" w:eastAsiaTheme="minorEastAsia"/>
                <w:bCs/>
                <w:szCs w:val="21"/>
                <w:lang w:val="sv-SE" w:eastAsia="zh-CN"/>
              </w:rPr>
              <w:t>“</w:t>
            </w:r>
            <w:r>
              <w:rPr>
                <w:i/>
                <w:iCs/>
                <w:lang w:eastAsia="zh-CN"/>
              </w:rPr>
              <w:t>a cell with PCI different from a serving cell</w:t>
            </w:r>
            <w:r>
              <w:rPr>
                <w:rFonts w:eastAsiaTheme="minorEastAsia"/>
                <w:bCs/>
                <w:szCs w:val="21"/>
                <w:lang w:val="sv-SE" w:eastAsia="zh-CN"/>
              </w:rPr>
              <w:t>”</w:t>
            </w:r>
          </w:p>
          <w:p>
            <w:pPr>
              <w:pStyle w:val="28"/>
              <w:keepNext w:val="0"/>
              <w:keepLines w:val="0"/>
              <w:pageBreakBefore w:val="0"/>
              <w:numPr>
                <w:ilvl w:val="1"/>
                <w:numId w:val="4"/>
              </w:numPr>
              <w:kinsoku/>
              <w:wordWrap/>
              <w:overflowPunct/>
              <w:topLinePunct w:val="0"/>
              <w:autoSpaceDE/>
              <w:autoSpaceDN/>
              <w:bidi w:val="0"/>
              <w:adjustRightInd/>
              <w:snapToGrid/>
              <w:ind w:left="1440" w:firstLineChars="0"/>
              <w:textAlignment w:val="auto"/>
              <w:rPr>
                <w:rFonts w:eastAsia="Times New Roman"/>
                <w:bCs/>
                <w:szCs w:val="21"/>
                <w:lang w:val="sv-SE"/>
              </w:rPr>
            </w:pPr>
            <w:r>
              <w:rPr>
                <w:rFonts w:eastAsia="Times New Roman"/>
                <w:bCs/>
                <w:szCs w:val="21"/>
                <w:lang w:val="sv-SE"/>
              </w:rPr>
              <w:t xml:space="preserve">MAC-CE based and DCI based TCI switching delay does not have difference for a serving cell and a cell with PCI different from a serving cell based on the following conditions. </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lang w:val="sv-SE"/>
              </w:rPr>
            </w:pPr>
            <w:r>
              <w:rPr>
                <w:rFonts w:hint="eastAsia" w:eastAsia="Yu Mincho"/>
                <w:bCs/>
                <w:lang w:eastAsia="ja-JP"/>
              </w:rPr>
              <w:t>A</w:t>
            </w:r>
            <w:r>
              <w:rPr>
                <w:rFonts w:eastAsia="Yu Mincho"/>
                <w:bCs/>
                <w:lang w:eastAsia="ja-JP"/>
              </w:rPr>
              <w:t xml:space="preserve">ctive BWP of cell with different PCI shall be within active BWP of serving cell </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lang w:val="sv-SE"/>
              </w:rPr>
            </w:pPr>
            <w:r>
              <w:rPr>
                <w:rFonts w:eastAsia="Yu Mincho"/>
                <w:bCs/>
                <w:lang w:eastAsia="ja-JP"/>
              </w:rPr>
              <w:t>SCS between cell with different PCI and serving cell shall the same</w:t>
            </w:r>
            <w:r>
              <w:rPr>
                <w:lang w:val="sv-SE"/>
              </w:rPr>
              <w:t xml:space="preserve"> </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lang w:val="sv-SE"/>
              </w:rPr>
            </w:pPr>
            <w:r>
              <w:rPr>
                <w:rFonts w:eastAsia="Yu Mincho"/>
                <w:bCs/>
                <w:lang w:eastAsia="ja-JP"/>
              </w:rPr>
              <w:t>Timing offset between SC and NSC are within CP</w:t>
            </w:r>
            <w:r>
              <w:rPr>
                <w:lang w:val="sv-SE"/>
              </w:rPr>
              <w:t xml:space="preserve"> </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RAN4 will further study whether to specify the requirements if above conditions do not meet. </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lang w:val="sv-SE"/>
              </w:rPr>
            </w:pPr>
            <w:r>
              <w:rPr>
                <w:lang w:val="sv-SE"/>
              </w:rPr>
              <w:t>Delay requirements for TCI switching in CA case</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RAN4 will further study whether to specify the TCI switching delay requirement in CA case </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lang w:val="sv-SE"/>
              </w:rPr>
            </w:pPr>
            <w:r>
              <w:rPr>
                <w:lang w:val="sv-SE"/>
              </w:rPr>
              <w:t>Requirements for PL-RS switching delay indicated by unified TCI</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No extra requirements beyond Rel-17 unified TCI switching delay requirements. Requirements for uplink TCI switching requirements is applied for MAC CE based PL-RS switching and DCI based PL-RS switching</w:t>
            </w:r>
          </w:p>
          <w:p>
            <w:pPr>
              <w:pStyle w:val="28"/>
              <w:keepNext w:val="0"/>
              <w:keepLines w:val="0"/>
              <w:pageBreakBefore w:val="0"/>
              <w:numPr>
                <w:ilvl w:val="1"/>
                <w:numId w:val="4"/>
              </w:numPr>
              <w:kinsoku/>
              <w:wordWrap/>
              <w:overflowPunct/>
              <w:topLinePunct w:val="0"/>
              <w:autoSpaceDE/>
              <w:autoSpaceDN/>
              <w:bidi w:val="0"/>
              <w:adjustRightInd/>
              <w:snapToGrid/>
              <w:ind w:firstLineChars="0"/>
              <w:textAlignment w:val="auto"/>
              <w:rPr>
                <w:lang w:val="sv-SE"/>
              </w:rPr>
            </w:pPr>
            <w:r>
              <w:rPr>
                <w:lang w:val="sv-SE"/>
              </w:rPr>
              <w:t xml:space="preserve">Delay component of measuring PL-RS will be specified for the following cases </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rFonts w:hint="default"/>
                <w:sz w:val="24"/>
                <w:szCs w:val="24"/>
                <w:lang w:val="en-US" w:eastAsia="zh-CN"/>
              </w:rPr>
            </w:pPr>
            <w:r>
              <w:rPr>
                <w:lang w:val="sv-SE"/>
              </w:rPr>
              <w:t xml:space="preserve">Known TCI but PL-RS is not maintained </w:t>
            </w:r>
          </w:p>
          <w:p>
            <w:pPr>
              <w:pStyle w:val="28"/>
              <w:keepNext w:val="0"/>
              <w:keepLines w:val="0"/>
              <w:pageBreakBefore w:val="0"/>
              <w:numPr>
                <w:ilvl w:val="2"/>
                <w:numId w:val="4"/>
              </w:numPr>
              <w:kinsoku/>
              <w:wordWrap/>
              <w:overflowPunct/>
              <w:topLinePunct w:val="0"/>
              <w:autoSpaceDE/>
              <w:autoSpaceDN/>
              <w:bidi w:val="0"/>
              <w:adjustRightInd/>
              <w:snapToGrid/>
              <w:ind w:firstLineChars="0"/>
              <w:textAlignment w:val="auto"/>
              <w:rPr>
                <w:rFonts w:hint="default"/>
                <w:sz w:val="24"/>
                <w:szCs w:val="24"/>
                <w:lang w:val="en-US" w:eastAsia="zh-CN"/>
              </w:rPr>
            </w:pPr>
            <w:r>
              <w:rPr>
                <w:lang w:val="sv-SE"/>
              </w:rPr>
              <w:t>Unknow TCI</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101bis e-meeting, for both joint TCI mode and separate TCI mode, some issues are still open, further discussion are needed. </w:t>
      </w:r>
      <w:r>
        <w:rPr>
          <w:rFonts w:hint="eastAsia" w:eastAsia="宋体"/>
          <w:kern w:val="2"/>
          <w:sz w:val="21"/>
          <w:lang w:val="en-US" w:eastAsia="zh-CN"/>
        </w:rPr>
        <w:t>In this document, we give our analysis for the following issues.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Requirements for MAC CE based TCI switching for joint/separate mode</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bookmarkStart w:id="0" w:name="OLE_LINK1"/>
      <w:r>
        <w:rPr>
          <w:rFonts w:hint="eastAsia" w:ascii="Times New Roman" w:hAnsi="Times New Roman" w:cs="Times New Roman"/>
          <w:color w:val="auto"/>
          <w:sz w:val="20"/>
          <w:szCs w:val="20"/>
          <w:lang w:val="en-US" w:eastAsia="zh-CN" w:bidi="ar-SA"/>
        </w:rPr>
        <w:t xml:space="preserve">Delay requirements for </w:t>
      </w:r>
      <w:r>
        <w:rPr>
          <w:rFonts w:hint="default" w:ascii="Times New Roman" w:hAnsi="Times New Roman" w:cs="Times New Roman"/>
          <w:strike w:val="0"/>
          <w:dstrike w:val="0"/>
          <w:color w:val="auto"/>
          <w:sz w:val="20"/>
          <w:szCs w:val="20"/>
          <w:lang w:val="en-US" w:eastAsia="zh-CN" w:bidi="ar-SA"/>
        </w:rPr>
        <w:t xml:space="preserve">MAC-CE based TCI state-pair </w:t>
      </w:r>
      <w:r>
        <w:rPr>
          <w:rFonts w:hint="eastAsia" w:ascii="Times New Roman" w:hAnsi="Times New Roman" w:cs="Times New Roman"/>
          <w:strike w:val="0"/>
          <w:dstrike w:val="0"/>
          <w:color w:val="auto"/>
          <w:sz w:val="20"/>
          <w:szCs w:val="20"/>
          <w:lang w:val="en-US" w:eastAsia="zh-CN" w:bidi="ar-SA"/>
        </w:rPr>
        <w:t>switching</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cs="Times New Roman"/>
          <w:strike w:val="0"/>
          <w:dstrike w:val="0"/>
          <w:color w:val="auto"/>
          <w:sz w:val="20"/>
          <w:szCs w:val="20"/>
          <w:lang w:val="en-US" w:eastAsia="zh-CN" w:bidi="ar-SA"/>
        </w:rPr>
      </w:pPr>
      <w:r>
        <w:rPr>
          <w:rFonts w:hint="default" w:ascii="Times New Roman" w:hAnsi="Times New Roman" w:cs="Times New Roman"/>
          <w:strike w:val="0"/>
          <w:dstrike w:val="0"/>
          <w:color w:val="auto"/>
          <w:sz w:val="20"/>
          <w:szCs w:val="20"/>
          <w:lang w:val="en-US" w:eastAsia="zh-CN" w:bidi="ar-SA"/>
        </w:rPr>
        <w:t>Whether beam alignment definition as applicability scenario for UL TCI switching requirements</w:t>
      </w:r>
    </w:p>
    <w:p>
      <w:pPr>
        <w:pStyle w:val="16"/>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About intra-band CA</w:t>
      </w:r>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eastAsia="宋体" w:cs="Times New Roman"/>
          <w:strike w:val="0"/>
          <w:dstrike w:val="0"/>
          <w:color w:val="auto"/>
          <w:sz w:val="20"/>
          <w:szCs w:val="20"/>
          <w:lang w:val="en-US" w:eastAsia="zh-CN" w:bidi="ar-SA"/>
        </w:rPr>
      </w:pPr>
      <w:bookmarkStart w:id="1" w:name="OLE_LINK5"/>
      <w:r>
        <w:rPr>
          <w:rFonts w:hint="eastAsia" w:ascii="Times New Roman" w:hAnsi="Times New Roman" w:cs="Times New Roman"/>
          <w:strike w:val="0"/>
          <w:dstrike w:val="0"/>
          <w:color w:val="auto"/>
          <w:sz w:val="20"/>
          <w:szCs w:val="20"/>
          <w:lang w:val="en-US" w:eastAsia="zh-CN" w:bidi="ar-SA"/>
        </w:rPr>
        <w:t>Known condition for intra-band CA</w:t>
      </w:r>
      <w:bookmarkEnd w:id="1"/>
    </w:p>
    <w:p>
      <w:pPr>
        <w:pStyle w:val="16"/>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default" w:ascii="Times New Roman" w:hAnsi="Times New Roman" w:eastAsia="宋体" w:cs="Times New Roman"/>
          <w:strike w:val="0"/>
          <w:dstrike w:val="0"/>
          <w:color w:val="auto"/>
          <w:sz w:val="20"/>
          <w:szCs w:val="20"/>
          <w:lang w:val="en-US" w:eastAsia="zh-CN" w:bidi="ar-SA"/>
        </w:rPr>
      </w:pPr>
      <w:bookmarkStart w:id="2" w:name="OLE_LINK2"/>
      <w:r>
        <w:rPr>
          <w:rFonts w:hint="eastAsia" w:ascii="Times New Roman" w:hAnsi="Times New Roman" w:cs="Times New Roman"/>
          <w:strike w:val="0"/>
          <w:dstrike w:val="0"/>
          <w:color w:val="auto"/>
          <w:sz w:val="20"/>
          <w:szCs w:val="20"/>
          <w:lang w:val="en-US" w:eastAsia="zh-CN" w:bidi="ar-SA"/>
        </w:rPr>
        <w:t xml:space="preserve">The </w:t>
      </w:r>
      <w:r>
        <w:rPr>
          <w:rFonts w:hint="default" w:ascii="Times New Roman" w:hAnsi="Times New Roman" w:eastAsia="宋体" w:cs="Times New Roman"/>
          <w:strike w:val="0"/>
          <w:dstrike w:val="0"/>
          <w:color w:val="auto"/>
          <w:sz w:val="20"/>
          <w:szCs w:val="20"/>
          <w:lang w:val="en-US" w:eastAsia="zh-CN" w:bidi="ar-SA"/>
        </w:rPr>
        <w:t>requirements for common TCI state switching delay in CA scenario</w:t>
      </w:r>
    </w:p>
    <w:bookmarkEnd w:id="2"/>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ind w:left="-40" w:leftChars="0"/>
        <w:jc w:val="both"/>
        <w:textAlignment w:val="auto"/>
        <w:rPr>
          <w:rFonts w:hint="default" w:ascii="Times New Roman" w:hAnsi="Times New Roman" w:cs="Times New Roman"/>
          <w:color w:val="auto"/>
          <w:sz w:val="20"/>
          <w:szCs w:val="20"/>
          <w:lang w:val="en-US" w:eastAsia="zh-CN" w:bidi="ar-SA"/>
        </w:rPr>
      </w:pP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Requirements for MAC CE based TCI switching for joint/separate mode</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strike w:val="0"/>
          <w:dstrike w:val="0"/>
          <w:color w:val="auto"/>
          <w:sz w:val="20"/>
          <w:szCs w:val="20"/>
          <w:u w:val="single"/>
          <w:lang w:val="en-US" w:eastAsia="zh-CN" w:bidi="ar-SA"/>
        </w:rPr>
      </w:pPr>
      <w:r>
        <w:rPr>
          <w:rFonts w:hint="eastAsia" w:ascii="Times New Roman" w:hAnsi="Times New Roman" w:cs="Times New Roman"/>
          <w:b/>
          <w:bCs/>
          <w:color w:val="auto"/>
          <w:sz w:val="20"/>
          <w:szCs w:val="20"/>
          <w:u w:val="single"/>
          <w:lang w:val="en-US" w:eastAsia="zh-CN" w:bidi="ar-SA"/>
        </w:rPr>
        <w:t xml:space="preserve">Delay requirements for </w:t>
      </w:r>
      <w:r>
        <w:rPr>
          <w:rFonts w:hint="default" w:ascii="Times New Roman" w:hAnsi="Times New Roman" w:cs="Times New Roman"/>
          <w:b/>
          <w:bCs/>
          <w:strike w:val="0"/>
          <w:dstrike w:val="0"/>
          <w:color w:val="auto"/>
          <w:sz w:val="20"/>
          <w:szCs w:val="20"/>
          <w:u w:val="single"/>
          <w:lang w:val="en-US" w:eastAsia="zh-CN" w:bidi="ar-SA"/>
        </w:rPr>
        <w:t xml:space="preserve">MAC-CE based TCI state-pair </w:t>
      </w:r>
      <w:r>
        <w:rPr>
          <w:rFonts w:hint="eastAsia" w:ascii="Times New Roman" w:hAnsi="Times New Roman" w:cs="Times New Roman"/>
          <w:b/>
          <w:bCs/>
          <w:strike w:val="0"/>
          <w:dstrike w:val="0"/>
          <w:color w:val="auto"/>
          <w:sz w:val="20"/>
          <w:szCs w:val="20"/>
          <w:u w:val="single"/>
          <w:lang w:val="en-US" w:eastAsia="zh-CN" w:bidi="ar-SA"/>
        </w:rPr>
        <w:t>switching</w:t>
      </w:r>
    </w:p>
    <w:p>
      <w:pPr>
        <w:pStyle w:val="3"/>
        <w:keepNext w:val="0"/>
        <w:keepLines w:val="0"/>
        <w:pageBreakBefore w:val="0"/>
        <w:widowControl/>
        <w:kinsoku/>
        <w:wordWrap/>
        <w:overflowPunct/>
        <w:topLinePunct w:val="0"/>
        <w:autoSpaceDE/>
        <w:autoSpaceDN/>
        <w:bidi w:val="0"/>
        <w:adjustRightInd/>
        <w:snapToGrid/>
        <w:textAlignment w:val="auto"/>
        <w:rPr>
          <w:rFonts w:hint="default"/>
          <w:vertAlign w:val="baseline"/>
          <w:lang w:val="en-US" w:eastAsia="zh-CN"/>
        </w:rPr>
      </w:pPr>
      <w:r>
        <w:rPr>
          <w:rFonts w:hint="eastAsia"/>
          <w:lang w:val="en-US" w:eastAsia="zh-CN"/>
        </w:rPr>
        <w:t>For MAC CE based DL TCI state switching and UL TCI state switching in separate mode, the requirements have been identified respectively. But for MAC CE based TCI state-pair switching, the requirements are still pending. During the discussion in 101bis meeting, the following options were proposed toward this issue: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numPr>
                <w:ilvl w:val="0"/>
                <w:numId w:val="0"/>
              </w:numPr>
              <w:kinsoku/>
              <w:wordWrap/>
              <w:overflowPunct/>
              <w:topLinePunct w:val="0"/>
              <w:autoSpaceDE/>
              <w:autoSpaceDN/>
              <w:bidi w:val="0"/>
              <w:adjustRightInd/>
              <w:snapToGrid/>
              <w:textAlignment w:val="auto"/>
              <w:rPr>
                <w:lang w:eastAsia="zh-CN"/>
              </w:rPr>
            </w:pPr>
            <w:r>
              <w:rPr>
                <w:lang w:val="sv-SE" w:eastAsia="zh-CN"/>
              </w:rPr>
              <w:t xml:space="preserve">Option 1: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lang w:eastAsia="zh-CN"/>
              </w:rPr>
            </w:pPr>
            <w:r>
              <w:rPr>
                <w:lang w:val="sv-SE" w:eastAsia="zh-CN"/>
              </w:rPr>
              <w:t xml:space="preserve">the TCI state switching delay requirement can be defined for UL TCI and DL TCI switching respectively. </w:t>
            </w:r>
          </w:p>
          <w:p>
            <w:pPr>
              <w:pStyle w:val="28"/>
              <w:keepNext w:val="0"/>
              <w:keepLines w:val="0"/>
              <w:pageBreakBefore w:val="0"/>
              <w:numPr>
                <w:ilvl w:val="0"/>
                <w:numId w:val="0"/>
              </w:numPr>
              <w:kinsoku/>
              <w:wordWrap/>
              <w:overflowPunct/>
              <w:topLinePunct w:val="0"/>
              <w:autoSpaceDE/>
              <w:autoSpaceDN/>
              <w:bidi w:val="0"/>
              <w:adjustRightInd/>
              <w:snapToGrid/>
              <w:textAlignment w:val="auto"/>
              <w:rPr>
                <w:lang w:eastAsia="zh-CN"/>
              </w:rPr>
            </w:pPr>
            <w:r>
              <w:rPr>
                <w:rFonts w:hint="eastAsia" w:eastAsiaTheme="minorEastAsia"/>
                <w:lang w:eastAsia="zh-CN"/>
              </w:rPr>
              <w:t>O</w:t>
            </w:r>
            <w:r>
              <w:rPr>
                <w:rFonts w:eastAsiaTheme="minorEastAsia"/>
                <w:lang w:eastAsia="zh-CN"/>
              </w:rPr>
              <w:t xml:space="preserve">ption 2: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lang w:val="sv-SE" w:eastAsia="zh-CN"/>
              </w:rPr>
            </w:pPr>
            <w:r>
              <w:rPr>
                <w:lang w:val="sv-SE" w:eastAsia="zh-CN"/>
              </w:rPr>
              <w:t xml:space="preserve">RAN4 specify MAC CE based TCI state list update requirements comprising UL TCI list update delay, DL TCI list update delay, and the potential maintained PL-RS list update delay. </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lang w:val="sv-SE" w:eastAsia="zh-CN"/>
              </w:rPr>
            </w:pPr>
            <w:r>
              <w:rPr>
                <w:lang w:val="sv-SE" w:eastAsia="zh-CN"/>
              </w:rPr>
              <w:t xml:space="preserve">If the TCI state list update include both DL TCIs and UL TCIs, the endpoint of the TCI state switching delay is the later one between DL TCI switching delay and UL TCI switching delay. </w:t>
            </w:r>
          </w:p>
          <w:p>
            <w:pPr>
              <w:pStyle w:val="28"/>
              <w:keepNext w:val="0"/>
              <w:keepLines w:val="0"/>
              <w:pageBreakBefore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Option 3:</w:t>
            </w:r>
          </w:p>
          <w:p>
            <w:pPr>
              <w:pStyle w:val="28"/>
              <w:keepNext w:val="0"/>
              <w:keepLines w:val="0"/>
              <w:pageBreakBefore w:val="0"/>
              <w:numPr>
                <w:ilvl w:val="0"/>
                <w:numId w:val="4"/>
              </w:numPr>
              <w:kinsoku/>
              <w:wordWrap/>
              <w:overflowPunct/>
              <w:topLinePunct w:val="0"/>
              <w:autoSpaceDE/>
              <w:autoSpaceDN/>
              <w:bidi w:val="0"/>
              <w:adjustRightInd/>
              <w:snapToGrid/>
              <w:ind w:left="936" w:leftChars="0" w:hanging="360" w:firstLineChars="0"/>
              <w:textAlignment w:val="auto"/>
              <w:rPr>
                <w:rFonts w:hint="default"/>
                <w:lang w:val="en-US" w:eastAsia="zh-CN"/>
              </w:rPr>
            </w:pPr>
            <w:r>
              <w:rPr>
                <w:rFonts w:ascii="Calibri" w:hAnsi="Calibri" w:eastAsia="宋体" w:cs="Times New Roman"/>
                <w:kern w:val="2"/>
                <w:sz w:val="21"/>
                <w:szCs w:val="22"/>
                <w:lang w:val="sv-SE" w:eastAsia="zh-CN" w:bidi="ar-SA"/>
              </w:rPr>
              <w:t xml:space="preserve">Update pair delay requirements shall be as same as TCI list update delay which is identical as DL TCI switching delay. </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In our opinion, the MAC CE based TCI state-pair switching is similar as the MAC CE based joint TCI state switching. Since for joint mode, it has been agreed that DL and UL requirement can be applicable independently, so we believe for separate mode with TCI state-pair switching, DL and UL requirements can also be applicable independently, i.e. Option 1 is preferred by us.</w:t>
      </w:r>
    </w:p>
    <w:p>
      <w:pPr>
        <w:pStyle w:val="3"/>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bookmarkStart w:id="3" w:name="OLE_LINK3"/>
      <w:r>
        <w:rPr>
          <w:rFonts w:hint="eastAsia" w:eastAsia="宋体" w:cs="Times New Roman"/>
          <w:b/>
          <w:bCs/>
          <w:color w:val="auto"/>
          <w:sz w:val="21"/>
          <w:szCs w:val="21"/>
          <w:highlight w:val="none"/>
          <w:lang w:val="en-US" w:eastAsia="zh-CN" w:bidi="ar-SA"/>
        </w:rPr>
        <w:t>T</w:t>
      </w:r>
      <w:r>
        <w:rPr>
          <w:rFonts w:hint="eastAsia" w:ascii="Times New Roman" w:hAnsi="Times New Roman" w:eastAsia="宋体" w:cs="Times New Roman"/>
          <w:b/>
          <w:bCs/>
          <w:color w:val="auto"/>
          <w:sz w:val="21"/>
          <w:szCs w:val="21"/>
          <w:highlight w:val="none"/>
          <w:lang w:val="en-US" w:eastAsia="zh-CN" w:bidi="ar-SA"/>
        </w:rPr>
        <w:t>he MAC CE based TCI state-pair switching is similar as the MAC CE based joint TCI state switching</w:t>
      </w:r>
      <w:r>
        <w:rPr>
          <w:rFonts w:hint="eastAsia"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so Option 1 is preferred by us, i.e. DL and UL MAC CE based TCI state switching requirements can be used independently for the case of TCI state-pair switching. </w:t>
      </w:r>
      <w:bookmarkEnd w:id="3"/>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strike w:val="0"/>
          <w:dstrike w:val="0"/>
          <w:color w:val="auto"/>
          <w:sz w:val="20"/>
          <w:szCs w:val="20"/>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strike w:val="0"/>
          <w:dstrike w:val="0"/>
          <w:color w:val="auto"/>
          <w:sz w:val="20"/>
          <w:szCs w:val="20"/>
          <w:u w:val="single"/>
          <w:lang w:val="en-US" w:eastAsia="zh-CN" w:bidi="ar-SA"/>
        </w:rPr>
      </w:pPr>
      <w:r>
        <w:rPr>
          <w:rFonts w:hint="default" w:ascii="Times New Roman" w:hAnsi="Times New Roman" w:cs="Times New Roman"/>
          <w:b/>
          <w:bCs/>
          <w:strike w:val="0"/>
          <w:dstrike w:val="0"/>
          <w:color w:val="auto"/>
          <w:sz w:val="20"/>
          <w:szCs w:val="20"/>
          <w:u w:val="single"/>
          <w:lang w:val="en-US" w:eastAsia="zh-CN" w:bidi="ar-SA"/>
        </w:rPr>
        <w:t>Whether beam alignment definition as applicability scenario for UL TCI switching requirements</w:t>
      </w:r>
    </w:p>
    <w:p>
      <w:pPr>
        <w:pStyle w:val="3"/>
        <w:rPr>
          <w:rFonts w:hint="eastAsia"/>
          <w:lang w:val="en-US" w:eastAsia="zh-CN"/>
        </w:rPr>
      </w:pPr>
      <w:r>
        <w:rPr>
          <w:rFonts w:hint="eastAsia"/>
          <w:lang w:val="en-US" w:eastAsia="zh-CN"/>
        </w:rPr>
        <w:t>About this issue, the WF during 101bis meeting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936" w:leftChars="0" w:hanging="363" w:firstLineChars="0"/>
              <w:textAlignment w:val="auto"/>
              <w:rPr>
                <w:lang w:val="sv-SE"/>
              </w:rPr>
            </w:pPr>
            <w:r>
              <w:rPr>
                <w:lang w:val="sv-SE"/>
              </w:rPr>
              <w:t>RAN4 will further study and confirm the below beam alignment defin</w:t>
            </w:r>
            <w:r>
              <w:rPr>
                <w:rFonts w:hint="eastAsia"/>
                <w:lang w:val="en-US" w:eastAsia="zh-CN"/>
              </w:rPr>
              <w:t>i</w:t>
            </w:r>
            <w:r>
              <w:rPr>
                <w:lang w:val="sv-SE"/>
              </w:rPr>
              <w:t>tion as applicability scenario for uplink TCI switching requirements</w:t>
            </w:r>
          </w:p>
          <w:p>
            <w:pPr>
              <w:pStyle w:val="28"/>
              <w:keepNext w:val="0"/>
              <w:keepLines w:val="0"/>
              <w:pageBreakBefore w:val="0"/>
              <w:widowControl w:val="0"/>
              <w:numPr>
                <w:ilvl w:val="0"/>
                <w:numId w:val="4"/>
              </w:numPr>
              <w:kinsoku/>
              <w:wordWrap/>
              <w:overflowPunct/>
              <w:topLinePunct w:val="0"/>
              <w:autoSpaceDE/>
              <w:autoSpaceDN/>
              <w:bidi w:val="0"/>
              <w:adjustRightInd/>
              <w:snapToGrid/>
              <w:ind w:left="1236" w:leftChars="0" w:hanging="363" w:firstLineChars="0"/>
              <w:textAlignment w:val="auto"/>
              <w:rPr>
                <w:rFonts w:hint="default"/>
                <w:vertAlign w:val="baseline"/>
                <w:lang w:val="en-US" w:eastAsia="zh-CN"/>
              </w:rPr>
            </w:pPr>
            <w:r>
              <w:rPr>
                <w:lang w:val="sv-SE"/>
              </w:rPr>
              <w:t>If PL-RS is included in UL TCI or joint TCI, PL-RS is identical to the source RS in UL or joint TCI</w:t>
            </w:r>
          </w:p>
          <w:p>
            <w:pPr>
              <w:pStyle w:val="28"/>
              <w:keepNext w:val="0"/>
              <w:keepLines w:val="0"/>
              <w:pageBreakBefore w:val="0"/>
              <w:widowControl w:val="0"/>
              <w:numPr>
                <w:ilvl w:val="0"/>
                <w:numId w:val="4"/>
              </w:numPr>
              <w:kinsoku/>
              <w:wordWrap/>
              <w:overflowPunct/>
              <w:topLinePunct w:val="0"/>
              <w:autoSpaceDE/>
              <w:autoSpaceDN/>
              <w:bidi w:val="0"/>
              <w:adjustRightInd/>
              <w:snapToGrid/>
              <w:ind w:left="1236" w:leftChars="0" w:hanging="363" w:firstLineChars="0"/>
              <w:textAlignment w:val="auto"/>
              <w:rPr>
                <w:rFonts w:hint="default"/>
                <w:vertAlign w:val="baseline"/>
                <w:lang w:val="en-US" w:eastAsia="zh-CN"/>
              </w:rPr>
            </w:pPr>
            <w:r>
              <w:rPr>
                <w:lang w:val="sv-SE"/>
              </w:rPr>
              <w:t>If PL-RS is associated UL TCI or joint TCI, PL-RS and source RS in UL or joint TCI is QCL-Type D.</w:t>
            </w:r>
          </w:p>
        </w:tc>
      </w:tr>
    </w:tbl>
    <w:p>
      <w:pPr>
        <w:pStyle w:val="3"/>
        <w:rPr>
          <w:rFonts w:hint="default"/>
          <w:lang w:val="en-US" w:eastAsia="zh-CN"/>
        </w:rPr>
      </w:pPr>
      <w:r>
        <w:rPr>
          <w:rFonts w:hint="eastAsia"/>
          <w:lang w:val="en-US" w:eastAsia="zh-CN"/>
        </w:rPr>
        <w:t xml:space="preserve">We are fine for the two sub-bullets about beam alignment definition. In our opinion, beam alignment means that the RX beam for PL-RS and source RS in UL TCI state are same, then the delay of PL-RS switching can be a component of UL TCI state switching delay. The two sub-bullets both can guarantee this. So UE can use the same beam as source RS of UL to receive PL-RS.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beam alignment definition as applicability scenario for uplink TCI switching requirements can be:</w:t>
      </w:r>
    </w:p>
    <w:p>
      <w:pPr>
        <w:pStyle w:val="3"/>
        <w:numPr>
          <w:ilvl w:val="0"/>
          <w:numId w:val="7"/>
        </w:numPr>
        <w:ind w:left="420" w:leftChars="0" w:hanging="420" w:firstLineChars="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If PL-RS is included in UL TCI or joint TCI, PL-RS is identical to the source RS in UL or joint TCI</w:t>
      </w:r>
    </w:p>
    <w:p>
      <w:pPr>
        <w:pStyle w:val="3"/>
        <w:numPr>
          <w:ilvl w:val="0"/>
          <w:numId w:val="7"/>
        </w:numPr>
        <w:ind w:left="420" w:leftChars="0" w:hanging="420" w:firstLineChars="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If PL-RS is associated UL TCI or joint TCI, PL-RS and source RS in UL or joint TCI is QCL-Type D.</w:t>
      </w:r>
    </w:p>
    <w:p>
      <w:pPr>
        <w:pStyle w:val="3"/>
        <w:rPr>
          <w:rFonts w:hint="default"/>
          <w:lang w:val="en-US" w:eastAsia="zh-CN"/>
        </w:rPr>
      </w:pPr>
      <w:r>
        <w:rPr>
          <w:rFonts w:hint="eastAsia" w:eastAsia="宋体" w:cs="Times New Roman"/>
          <w:b/>
          <w:bCs/>
          <w:color w:val="auto"/>
          <w:sz w:val="21"/>
          <w:szCs w:val="21"/>
          <w:highlight w:val="none"/>
          <w:lang w:val="en-US" w:eastAsia="zh-CN" w:bidi="ar-SA"/>
        </w:rPr>
        <w:t xml:space="preserve"> </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About intra-band CA</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eastAsia" w:ascii="Times New Roman" w:hAnsi="Times New Roman" w:cs="Times New Roman"/>
          <w:b/>
          <w:bCs/>
          <w:strike w:val="0"/>
          <w:dstrike w:val="0"/>
          <w:color w:val="auto"/>
          <w:sz w:val="20"/>
          <w:szCs w:val="20"/>
          <w:u w:val="single"/>
          <w:lang w:val="en-US" w:eastAsia="zh-CN" w:bidi="ar-SA"/>
        </w:rPr>
      </w:pPr>
      <w:r>
        <w:rPr>
          <w:rFonts w:hint="eastAsia" w:ascii="Times New Roman" w:hAnsi="Times New Roman" w:cs="Times New Roman"/>
          <w:b/>
          <w:bCs/>
          <w:strike w:val="0"/>
          <w:dstrike w:val="0"/>
          <w:color w:val="auto"/>
          <w:sz w:val="20"/>
          <w:szCs w:val="20"/>
          <w:u w:val="single"/>
          <w:lang w:val="en-US" w:eastAsia="zh-CN" w:bidi="ar-SA"/>
        </w:rPr>
        <w:t>Known condition for intra-band CA</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 xml:space="preserve">Considering unified TCI structure is also applicable for intra-band CA in RAN1, so it is necessary to check whether </w:t>
      </w:r>
      <w:r>
        <w:rPr>
          <w:rFonts w:hint="default"/>
          <w:lang w:val="en-US" w:eastAsia="zh-CN"/>
        </w:rPr>
        <w:t xml:space="preserve">the </w:t>
      </w:r>
      <w:r>
        <w:rPr>
          <w:rFonts w:hint="eastAsia"/>
          <w:lang w:val="en-US" w:eastAsia="zh-CN"/>
        </w:rPr>
        <w:t xml:space="preserve">existing </w:t>
      </w:r>
      <w:r>
        <w:rPr>
          <w:rFonts w:hint="default"/>
          <w:lang w:val="en-US" w:eastAsia="zh-CN"/>
        </w:rPr>
        <w:t xml:space="preserve">known condition need </w:t>
      </w:r>
      <w:r>
        <w:rPr>
          <w:rFonts w:hint="eastAsia"/>
          <w:lang w:val="en-US" w:eastAsia="zh-CN"/>
        </w:rPr>
        <w:t xml:space="preserve">further </w:t>
      </w:r>
      <w:r>
        <w:rPr>
          <w:rFonts w:hint="default"/>
          <w:lang w:val="en-US" w:eastAsia="zh-CN"/>
        </w:rPr>
        <w:t xml:space="preserve">update for </w:t>
      </w:r>
      <w:r>
        <w:rPr>
          <w:rFonts w:hint="eastAsia"/>
          <w:lang w:val="en-US" w:eastAsia="zh-CN"/>
        </w:rPr>
        <w:t xml:space="preserve">unified </w:t>
      </w:r>
      <w:r>
        <w:rPr>
          <w:rFonts w:hint="default"/>
          <w:lang w:val="en-US" w:eastAsia="zh-CN"/>
        </w:rPr>
        <w:t>TCI state switch in intra-band CA.</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RAN1 has been agreed that both MAC CE based and DCI based unified TCI state switch can be used to switch the common TCI for multiple CCs within intra-band CA. Once receiving the MAC CE based or DCI based TCI state switch command by UE, for multiple CCs within a intra-band CC group, the active TCI state would switch to the target TCI state. If the target TCI state is QCL type D, there are two possible solutions to determine the target beam: a) Once a CC/BWP is configured for the source RS of the target TCI state, then each CC within the intra-band CC group would use the beam direction of the source RS transmitted in such CC/BWP as target beam; b) If without any CC/BWP configured for the source RS of the target TCI state, only RS ID exists, then each CC within the intra-band CC group should use the beam direction of its RS with such ID as the target beam. </w:t>
      </w:r>
    </w:p>
    <w:p>
      <w:pPr>
        <w:pStyle w:val="3"/>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 xml:space="preserve">For solution a), if the configured CC/BWP is not the CC which would apply the target TCI state, which means the source RS of the target TCI state is transmitted in another CC, the known condition should be further check. </w:t>
      </w:r>
    </w:p>
    <w:p>
      <w:pPr>
        <w:pStyle w:val="3"/>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lang w:val="en-US" w:eastAsia="zh-CN"/>
        </w:rPr>
        <w:t>We believe such case is also possible in legacy Rel-16 TCI state switch. For the TCI state of QCL type-C/D, the source RS of the target TCI state can be transmitted in other serving cell. Further more, the update of TCI state for a CC group has been supported in Rel-16, so we believe there is not any new characteristic introduced by the unified TCI state structure applying for intra-band CA. No matter solution a) or b), once the source RS of target TCI state is known for each CC in the intra-band CC group, which means the known condition is satisfied.</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Considering for applying the unified TCI state in intra-band CA case, still reuse the existing known condition is enough, not need to update the known condition. Once the source RS of target TCI state is known for each CC in the intra-band CC group, which means the known condition is satisfied.</w:t>
      </w: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strike w:val="0"/>
          <w:dstrike w:val="0"/>
          <w:color w:val="auto"/>
          <w:sz w:val="20"/>
          <w:szCs w:val="20"/>
          <w:u w:val="single"/>
          <w:lang w:val="en-US" w:eastAsia="zh-CN" w:bidi="ar-SA"/>
        </w:rPr>
      </w:pPr>
    </w:p>
    <w:p>
      <w:pPr>
        <w:pStyle w:val="16"/>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jc w:val="both"/>
        <w:textAlignment w:val="auto"/>
        <w:rPr>
          <w:rFonts w:hint="default" w:ascii="Times New Roman" w:hAnsi="Times New Roman" w:cs="Times New Roman"/>
          <w:b/>
          <w:bCs/>
          <w:strike w:val="0"/>
          <w:dstrike w:val="0"/>
          <w:color w:val="auto"/>
          <w:sz w:val="20"/>
          <w:szCs w:val="20"/>
          <w:u w:val="single"/>
          <w:lang w:val="en-US" w:eastAsia="zh-CN" w:bidi="ar-SA"/>
        </w:rPr>
      </w:pPr>
      <w:r>
        <w:rPr>
          <w:rFonts w:hint="eastAsia" w:ascii="Times New Roman" w:hAnsi="Times New Roman" w:cs="Times New Roman"/>
          <w:b/>
          <w:bCs/>
          <w:strike w:val="0"/>
          <w:dstrike w:val="0"/>
          <w:color w:val="auto"/>
          <w:sz w:val="20"/>
          <w:szCs w:val="20"/>
          <w:u w:val="single"/>
          <w:lang w:val="en-US" w:eastAsia="zh-CN" w:bidi="ar-SA"/>
        </w:rPr>
        <w:t xml:space="preserve">The </w:t>
      </w:r>
      <w:r>
        <w:rPr>
          <w:rFonts w:hint="default" w:ascii="Times New Roman" w:hAnsi="Times New Roman" w:cs="Times New Roman"/>
          <w:b/>
          <w:bCs/>
          <w:strike w:val="0"/>
          <w:dstrike w:val="0"/>
          <w:color w:val="auto"/>
          <w:sz w:val="20"/>
          <w:szCs w:val="20"/>
          <w:u w:val="single"/>
          <w:lang w:val="en-US" w:eastAsia="zh-CN" w:bidi="ar-SA"/>
        </w:rPr>
        <w:t>requirements for common TCI state switching delay in CA scenario</w:t>
      </w:r>
    </w:p>
    <w:p>
      <w:pPr>
        <w:pStyle w:val="3"/>
        <w:rPr>
          <w:rFonts w:hint="eastAsia"/>
          <w:lang w:val="en-US" w:eastAsia="zh-CN"/>
        </w:rPr>
      </w:pPr>
      <w:r>
        <w:rPr>
          <w:rFonts w:hint="eastAsia"/>
          <w:lang w:val="en-US" w:eastAsia="zh-CN"/>
        </w:rPr>
        <w:t>About this issue, the following two options proposed during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topLinePunct w:val="0"/>
              <w:autoSpaceDE/>
              <w:autoSpaceDN/>
              <w:bidi w:val="0"/>
              <w:adjustRightInd/>
              <w:snapToGrid/>
              <w:ind w:left="936" w:leftChars="0" w:hanging="363" w:firstLineChars="0"/>
              <w:textAlignment w:val="auto"/>
              <w:rPr>
                <w:lang w:val="sv-SE" w:eastAsia="zh-CN"/>
              </w:rPr>
            </w:pPr>
            <w:r>
              <w:rPr>
                <w:lang w:val="sv-SE" w:eastAsia="zh-CN"/>
              </w:rPr>
              <w:t xml:space="preserve">Option 1: Specify the requirement, i.e. the switching delay between the TCI states whose QCL-D or UL TX filter is determined by a source RS in one of the CCs, while QCL-A or QCL-C is still determined by the RS in each CC. </w:t>
            </w:r>
          </w:p>
          <w:p>
            <w:pPr>
              <w:pStyle w:val="28"/>
              <w:keepNext w:val="0"/>
              <w:keepLines w:val="0"/>
              <w:pageBreakBefore w:val="0"/>
              <w:widowControl w:val="0"/>
              <w:numPr>
                <w:ilvl w:val="0"/>
                <w:numId w:val="4"/>
              </w:numPr>
              <w:kinsoku/>
              <w:wordWrap/>
              <w:overflowPunct/>
              <w:topLinePunct w:val="0"/>
              <w:autoSpaceDE/>
              <w:autoSpaceDN/>
              <w:bidi w:val="0"/>
              <w:adjustRightInd/>
              <w:snapToGrid/>
              <w:ind w:left="936" w:leftChars="0" w:hanging="363" w:firstLineChars="0"/>
              <w:textAlignment w:val="auto"/>
              <w:rPr>
                <w:rFonts w:hint="default" w:eastAsiaTheme="minorEastAsia"/>
                <w:lang w:val="en-US" w:eastAsia="zh-CN"/>
              </w:rPr>
            </w:pPr>
            <w:r>
              <w:rPr>
                <w:lang w:val="sv-SE" w:eastAsia="zh-CN"/>
              </w:rPr>
              <w:t xml:space="preserve">Option 2: delay requirement as the TCI state switching for single CC, with the clarification that the first slot to apply the new TCI state is determined on the CC with the smallest SCS among the CCs which applying the beam indication. </w:t>
            </w:r>
          </w:p>
        </w:tc>
      </w:tr>
    </w:tbl>
    <w:p>
      <w:pPr>
        <w:pStyle w:val="3"/>
        <w:rPr>
          <w:rFonts w:hint="eastAsia"/>
          <w:lang w:val="en-US" w:eastAsia="zh-CN"/>
        </w:rPr>
      </w:pPr>
      <w:r>
        <w:rPr>
          <w:rFonts w:hint="eastAsia"/>
          <w:lang w:val="en-US" w:eastAsia="zh-CN"/>
        </w:rPr>
        <w:t>For Option 2, we believe it is consistent with the agreement in RAN1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0"/>
              <w:rPr>
                <w:rFonts w:ascii="Calibri" w:hAnsi="Calibri" w:eastAsia="PMingLiU" w:cs="Calibri"/>
                <w:sz w:val="18"/>
                <w:szCs w:val="18"/>
                <w:lang w:val="en-US" w:eastAsia="zh-TW"/>
              </w:rPr>
            </w:pPr>
            <w:r>
              <w:rPr>
                <w:rFonts w:ascii="Calibri" w:hAnsi="Calibri" w:eastAsia="PMingLiU" w:cs="Calibri"/>
                <w:sz w:val="18"/>
                <w:szCs w:val="18"/>
                <w:highlight w:val="green"/>
                <w:lang w:val="en-US" w:eastAsia="zh-TW"/>
              </w:rPr>
              <w:t>Agreement</w:t>
            </w:r>
            <w:r>
              <w:rPr>
                <w:rFonts w:hint="eastAsia" w:ascii="Calibri" w:hAnsi="Calibri" w:eastAsia="宋体" w:cs="Calibri"/>
                <w:sz w:val="18"/>
                <w:szCs w:val="18"/>
                <w:highlight w:val="green"/>
                <w:lang w:val="en-US" w:eastAsia="zh-CN"/>
              </w:rPr>
              <w:t xml:space="preserve"> </w:t>
            </w:r>
            <w:r>
              <w:rPr>
                <w:rFonts w:ascii="Calibri" w:hAnsi="Calibri" w:eastAsia="PMingLiU" w:cs="Calibri"/>
                <w:sz w:val="18"/>
                <w:szCs w:val="18"/>
                <w:highlight w:val="green"/>
                <w:lang w:val="en-US" w:eastAsia="zh-TW"/>
              </w:rPr>
              <w:t>in RAN1 #107e</w:t>
            </w:r>
          </w:p>
          <w:p>
            <w:pPr>
              <w:spacing w:after="0"/>
              <w:rPr>
                <w:rFonts w:ascii="Calibri" w:hAnsi="Calibri" w:eastAsia="PMingLiU" w:cs="Calibri"/>
                <w:sz w:val="18"/>
                <w:szCs w:val="18"/>
                <w:lang w:val="en-US" w:eastAsia="zh-TW"/>
              </w:rPr>
            </w:pPr>
            <w:r>
              <w:rPr>
                <w:rFonts w:ascii="Calibri" w:hAnsi="Calibri" w:eastAsia="PMingLiU" w:cs="Calibri"/>
                <w:sz w:val="18"/>
                <w:szCs w:val="18"/>
                <w:lang w:val="en-US" w:eastAsia="zh-TW"/>
              </w:rPr>
              <w:t>On Rel-17 DCI-based beam indication, regarding application time of the beam indication, the UE can assume that one beam application time (BAT) for a given SCS is configured for all the CCs configured with the common TCI state ID update,</w:t>
            </w:r>
          </w:p>
          <w:p>
            <w:pPr>
              <w:numPr>
                <w:ilvl w:val="0"/>
                <w:numId w:val="8"/>
              </w:numPr>
              <w:spacing w:after="0"/>
              <w:textAlignment w:val="center"/>
              <w:rPr>
                <w:rFonts w:hint="default"/>
                <w:vertAlign w:val="baseline"/>
                <w:lang w:val="en-US" w:eastAsia="zh-CN"/>
              </w:rPr>
            </w:pPr>
            <w:r>
              <w:rPr>
                <w:rFonts w:ascii="Calibri" w:hAnsi="Calibri" w:eastAsia="PMingLiU" w:cs="Calibri"/>
                <w:sz w:val="18"/>
                <w:szCs w:val="18"/>
                <w:lang w:val="en-US" w:eastAsia="zh-TW"/>
              </w:rPr>
              <w:t xml:space="preserve">Note: It was agreed that the BAT associated with the carrier(s) (hence BWP(s)/CC(s)) on which the beam indication applies is determined </w:t>
            </w:r>
            <w:r>
              <w:rPr>
                <w:rFonts w:ascii="Calibri" w:hAnsi="Calibri" w:eastAsia="PMingLiU" w:cs="Calibri"/>
                <w:sz w:val="18"/>
                <w:szCs w:val="18"/>
                <w:highlight w:val="none"/>
                <w:lang w:val="en-US" w:eastAsia="zh-TW"/>
              </w:rPr>
              <w:t>based on the carrier with the smallest SCS among the carrier(s) (hence BWP(s)/CC(s)) applying the beam indication</w:t>
            </w:r>
          </w:p>
          <w:p>
            <w:pPr>
              <w:numPr>
                <w:ilvl w:val="0"/>
                <w:numId w:val="8"/>
              </w:numPr>
              <w:spacing w:after="0"/>
              <w:textAlignment w:val="center"/>
              <w:rPr>
                <w:rFonts w:hint="default"/>
                <w:vertAlign w:val="baseline"/>
                <w:lang w:val="en-US" w:eastAsia="zh-CN"/>
              </w:rPr>
            </w:pPr>
            <w:r>
              <w:rPr>
                <w:rFonts w:ascii="Calibri" w:hAnsi="Calibri" w:eastAsia="PMingLiU" w:cs="Calibri"/>
                <w:sz w:val="18"/>
                <w:szCs w:val="18"/>
                <w:lang w:val="en-US" w:eastAsia="zh-TW"/>
              </w:rPr>
              <w:t>TBD (maintenance): whether a second configured BAT is also supported, e.g. for MPUE or inter-cell BM</w:t>
            </w:r>
          </w:p>
        </w:tc>
      </w:tr>
    </w:tbl>
    <w:p>
      <w:pPr>
        <w:pStyle w:val="3"/>
        <w:rPr>
          <w:rFonts w:hint="eastAsia"/>
          <w:lang w:val="en-US" w:eastAsia="zh-CN"/>
        </w:rPr>
      </w:pPr>
      <w:r>
        <w:rPr>
          <w:rFonts w:hint="eastAsia"/>
          <w:lang w:val="en-US" w:eastAsia="zh-CN"/>
        </w:rPr>
        <w:t>So of course Option 2 can be supported.</w:t>
      </w:r>
    </w:p>
    <w:p>
      <w:pPr>
        <w:pStyle w:val="3"/>
        <w:rPr>
          <w:rFonts w:hint="eastAsia"/>
          <w:lang w:val="en-US" w:eastAsia="zh-CN"/>
        </w:rPr>
      </w:pPr>
      <w:r>
        <w:rPr>
          <w:rFonts w:hint="eastAsia"/>
          <w:lang w:val="en-US" w:eastAsia="zh-CN"/>
        </w:rPr>
        <w:t>For Option 1, we believe which is reasonable, and RAN 1 also support the demand for source RS of QCL-D in Rel-17. For the demand for source RS of QCL-A/C, Option 1 is consistent with common understanding in Rel-16, since QCL-A/C relates some large scale fading information, so restricting the source RS of QCL-A/C to the CC applying the target TCI state, which is natural.</w:t>
      </w:r>
    </w:p>
    <w:p>
      <w:pPr>
        <w:pStyle w:val="3"/>
        <w:rPr>
          <w:rFonts w:hint="default"/>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are fine with the Option 1 and Option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unified TCI state</w:t>
      </w:r>
      <w:r>
        <w:rPr>
          <w:rFonts w:eastAsia="宋体"/>
          <w:bCs/>
          <w:color w:val="auto"/>
          <w:sz w:val="21"/>
          <w:szCs w:val="21"/>
          <w:lang w:val="en-GB" w:eastAsia="zh-CN"/>
        </w:rPr>
        <w:t>:</w:t>
      </w:r>
    </w:p>
    <w:p>
      <w:pPr>
        <w:pStyle w:val="3"/>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w:t>
      </w:r>
      <w:r>
        <w:rPr>
          <w:rFonts w:hint="eastAsia" w:ascii="Times New Roman" w:hAnsi="Times New Roman" w:eastAsia="宋体" w:cs="Times New Roman"/>
          <w:b/>
          <w:bCs/>
          <w:color w:val="auto"/>
          <w:sz w:val="21"/>
          <w:szCs w:val="21"/>
          <w:highlight w:val="none"/>
          <w:lang w:val="en-US" w:eastAsia="zh-CN" w:bidi="ar-SA"/>
        </w:rPr>
        <w:t>he MAC CE based TCI state-pair switching is similar as the MAC CE based joint TCI state switching</w:t>
      </w:r>
      <w:r>
        <w:rPr>
          <w:rFonts w:hint="eastAsia" w:eastAsia="宋体" w:cs="Times New Roman"/>
          <w:b/>
          <w:bCs/>
          <w:color w:val="auto"/>
          <w:sz w:val="21"/>
          <w:szCs w:val="21"/>
          <w:highlight w:val="none"/>
          <w:lang w:val="en-US" w:eastAsia="zh-CN" w:bidi="ar-SA"/>
        </w:rPr>
        <w:t>,</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so Option 1 is preferred by us, i.e. DL and UL MAC CE based TCI state switching requirements can be used independently for the case of TCI state-pair switching. </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beam alignment definition as applicability scenario for uplink TCI switching requirements can be:</w:t>
      </w:r>
    </w:p>
    <w:p>
      <w:pPr>
        <w:pStyle w:val="3"/>
        <w:numPr>
          <w:ilvl w:val="0"/>
          <w:numId w:val="7"/>
        </w:numPr>
        <w:ind w:left="420" w:leftChars="0" w:hanging="420" w:firstLineChars="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If PL-RS is included in UL TCI or joint TCI, PL-RS is identical to the source RS in UL or joint TCI</w:t>
      </w:r>
    </w:p>
    <w:p>
      <w:pPr>
        <w:pStyle w:val="3"/>
        <w:numPr>
          <w:ilvl w:val="0"/>
          <w:numId w:val="7"/>
        </w:numPr>
        <w:ind w:left="420" w:leftChars="0" w:hanging="420" w:firstLineChars="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If PL-RS is associated UL TCI or joint TCI, PL-RS and source RS in UL or joint TCI is QCL-Type D.</w:t>
      </w:r>
    </w:p>
    <w:p>
      <w:pPr>
        <w:pStyle w:val="3"/>
        <w:rPr>
          <w:rFonts w:hint="default"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Considering for applying the unified TCI state in intra-band CA case, still reuse the existing known condition is enough, not need to update the known condition. Once the source RS of target TCI state is known for each CC in the intra-band CC group, which means the known condition is satisfied.</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We are fine with the Option 1 and Option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rPr>
          <w:rFonts w:hint="default" w:eastAsia="宋体"/>
          <w:color w:val="auto"/>
          <w:highlight w:val="none"/>
          <w:lang w:val="en-US" w:eastAsia="zh-CN"/>
        </w:rPr>
      </w:pPr>
      <w:r>
        <w:rPr>
          <w:rFonts w:hint="eastAsia"/>
          <w:color w:val="auto"/>
          <w:highlight w:val="none"/>
          <w:lang w:val="en-US" w:eastAsia="zh-CN"/>
        </w:rPr>
        <w:t xml:space="preserve">R4-2202666, </w:t>
      </w:r>
      <w:r>
        <w:rPr>
          <w:rFonts w:hint="default"/>
          <w:color w:val="auto"/>
          <w:highlight w:val="none"/>
          <w:lang w:val="en-US" w:eastAsia="zh-CN"/>
        </w:rPr>
        <w:t>“</w:t>
      </w:r>
      <w:r>
        <w:rPr>
          <w:rFonts w:hint="eastAsia"/>
          <w:color w:val="auto"/>
          <w:highlight w:val="none"/>
          <w:lang w:val="en-US" w:eastAsia="zh-CN"/>
        </w:rPr>
        <w:t>WF on RRM impact for unified TCI in FeMIMO</w:t>
      </w:r>
      <w:r>
        <w:rPr>
          <w:rFonts w:hint="default"/>
          <w:color w:val="auto"/>
          <w:highlight w:val="none"/>
          <w:lang w:val="en-US" w:eastAsia="zh-CN"/>
        </w:rPr>
        <w:t>”</w:t>
      </w:r>
      <w:r>
        <w:rPr>
          <w:rFonts w:hint="eastAsia"/>
          <w:color w:val="auto"/>
          <w:highlight w:val="none"/>
          <w:lang w:val="en-US" w:eastAsia="zh-CN"/>
        </w:rPr>
        <w:t xml:space="preserve">, Samsung.   </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2A692"/>
    <w:multiLevelType w:val="singleLevel"/>
    <w:tmpl w:val="8FA2A692"/>
    <w:lvl w:ilvl="0" w:tentative="0">
      <w:start w:val="1"/>
      <w:numFmt w:val="bullet"/>
      <w:lvlText w:val=""/>
      <w:lvlJc w:val="left"/>
      <w:pPr>
        <w:ind w:left="420" w:hanging="420"/>
      </w:pPr>
      <w:rPr>
        <w:rFonts w:hint="default" w:ascii="Wingdings" w:hAnsi="Wingdings"/>
      </w:rPr>
    </w:lvl>
  </w:abstractNum>
  <w:abstractNum w:abstractNumId="1">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33A59BF"/>
    <w:multiLevelType w:val="multilevel"/>
    <w:tmpl w:val="733A59B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297438F"/>
    <w:rsid w:val="04F447C1"/>
    <w:rsid w:val="05123449"/>
    <w:rsid w:val="05C42923"/>
    <w:rsid w:val="05E724AA"/>
    <w:rsid w:val="07CD3CDD"/>
    <w:rsid w:val="0855671D"/>
    <w:rsid w:val="09716BCA"/>
    <w:rsid w:val="09AD4F9D"/>
    <w:rsid w:val="09E644B8"/>
    <w:rsid w:val="0BB0429A"/>
    <w:rsid w:val="0CB97ACD"/>
    <w:rsid w:val="0CD014B3"/>
    <w:rsid w:val="0DBB01ED"/>
    <w:rsid w:val="0E8A2AC7"/>
    <w:rsid w:val="0EC815B9"/>
    <w:rsid w:val="0F446A2E"/>
    <w:rsid w:val="0F5F76E0"/>
    <w:rsid w:val="0F644A12"/>
    <w:rsid w:val="0F7F19AF"/>
    <w:rsid w:val="14773990"/>
    <w:rsid w:val="1481754F"/>
    <w:rsid w:val="148A67E1"/>
    <w:rsid w:val="148F5721"/>
    <w:rsid w:val="14AC57CD"/>
    <w:rsid w:val="164514BE"/>
    <w:rsid w:val="170F06AA"/>
    <w:rsid w:val="180A6E32"/>
    <w:rsid w:val="183F2CD2"/>
    <w:rsid w:val="18CD0507"/>
    <w:rsid w:val="1ABD48FA"/>
    <w:rsid w:val="1AD01A1B"/>
    <w:rsid w:val="1B2E6DFA"/>
    <w:rsid w:val="1B7B4E35"/>
    <w:rsid w:val="1C177B08"/>
    <w:rsid w:val="1C4E28F6"/>
    <w:rsid w:val="1C9001C6"/>
    <w:rsid w:val="1CBA2101"/>
    <w:rsid w:val="1D0573D7"/>
    <w:rsid w:val="1D0B674C"/>
    <w:rsid w:val="1D153DC4"/>
    <w:rsid w:val="1D223E0B"/>
    <w:rsid w:val="1D2B14A2"/>
    <w:rsid w:val="1E853F6F"/>
    <w:rsid w:val="1EB32AA2"/>
    <w:rsid w:val="1ECC1E3C"/>
    <w:rsid w:val="1FDA0E82"/>
    <w:rsid w:val="20371001"/>
    <w:rsid w:val="21244EB1"/>
    <w:rsid w:val="21F13629"/>
    <w:rsid w:val="22FB1CE4"/>
    <w:rsid w:val="24122135"/>
    <w:rsid w:val="258F4033"/>
    <w:rsid w:val="25932BF9"/>
    <w:rsid w:val="25AA2F33"/>
    <w:rsid w:val="265B50B5"/>
    <w:rsid w:val="26AE2CCC"/>
    <w:rsid w:val="26BB1419"/>
    <w:rsid w:val="281C12F4"/>
    <w:rsid w:val="29553F3A"/>
    <w:rsid w:val="29A05E8C"/>
    <w:rsid w:val="2A3916E1"/>
    <w:rsid w:val="2A7E505C"/>
    <w:rsid w:val="2B471816"/>
    <w:rsid w:val="2B954C89"/>
    <w:rsid w:val="2BA1692B"/>
    <w:rsid w:val="2BC05B2C"/>
    <w:rsid w:val="2BD617C5"/>
    <w:rsid w:val="2C112837"/>
    <w:rsid w:val="2CC146D3"/>
    <w:rsid w:val="2F2F0FC8"/>
    <w:rsid w:val="301C6BB6"/>
    <w:rsid w:val="31437A9E"/>
    <w:rsid w:val="31B14C9E"/>
    <w:rsid w:val="34471EEA"/>
    <w:rsid w:val="34F80A7B"/>
    <w:rsid w:val="35B06C6A"/>
    <w:rsid w:val="36D37423"/>
    <w:rsid w:val="38726558"/>
    <w:rsid w:val="3A185287"/>
    <w:rsid w:val="3A692CD0"/>
    <w:rsid w:val="3B3B2DF3"/>
    <w:rsid w:val="3B673620"/>
    <w:rsid w:val="3B6968C8"/>
    <w:rsid w:val="3B9A1F29"/>
    <w:rsid w:val="3C6D5868"/>
    <w:rsid w:val="3CE4646B"/>
    <w:rsid w:val="3D5E7AA8"/>
    <w:rsid w:val="3D6F2596"/>
    <w:rsid w:val="401B3A6B"/>
    <w:rsid w:val="405F175E"/>
    <w:rsid w:val="40C765F3"/>
    <w:rsid w:val="42F869D2"/>
    <w:rsid w:val="43553536"/>
    <w:rsid w:val="44C443CD"/>
    <w:rsid w:val="44F46037"/>
    <w:rsid w:val="451632B9"/>
    <w:rsid w:val="453954E9"/>
    <w:rsid w:val="45E3457D"/>
    <w:rsid w:val="45F60A50"/>
    <w:rsid w:val="46B036BF"/>
    <w:rsid w:val="47282363"/>
    <w:rsid w:val="49E55BC5"/>
    <w:rsid w:val="4A796308"/>
    <w:rsid w:val="4C1C63D6"/>
    <w:rsid w:val="4C864A35"/>
    <w:rsid w:val="4C873395"/>
    <w:rsid w:val="4D321410"/>
    <w:rsid w:val="4E015C76"/>
    <w:rsid w:val="4E4A2325"/>
    <w:rsid w:val="501A6C55"/>
    <w:rsid w:val="50E3745A"/>
    <w:rsid w:val="519A6ACC"/>
    <w:rsid w:val="51B14BED"/>
    <w:rsid w:val="52280006"/>
    <w:rsid w:val="525C1CEF"/>
    <w:rsid w:val="52F41789"/>
    <w:rsid w:val="53C64B93"/>
    <w:rsid w:val="53F07453"/>
    <w:rsid w:val="55B1164D"/>
    <w:rsid w:val="55B4735E"/>
    <w:rsid w:val="56371459"/>
    <w:rsid w:val="56875C1B"/>
    <w:rsid w:val="59DA647E"/>
    <w:rsid w:val="5A556E1A"/>
    <w:rsid w:val="5BB306CC"/>
    <w:rsid w:val="5D8941DA"/>
    <w:rsid w:val="5D982E42"/>
    <w:rsid w:val="5DC62232"/>
    <w:rsid w:val="5EB44FC0"/>
    <w:rsid w:val="5FBA395F"/>
    <w:rsid w:val="60662C20"/>
    <w:rsid w:val="62B047E1"/>
    <w:rsid w:val="635902CD"/>
    <w:rsid w:val="64706BBE"/>
    <w:rsid w:val="64F2095B"/>
    <w:rsid w:val="66770492"/>
    <w:rsid w:val="67052A96"/>
    <w:rsid w:val="671A4BC2"/>
    <w:rsid w:val="67A858DB"/>
    <w:rsid w:val="691B180A"/>
    <w:rsid w:val="691F2D87"/>
    <w:rsid w:val="69A833BD"/>
    <w:rsid w:val="6AE05BF9"/>
    <w:rsid w:val="6DDE3DAF"/>
    <w:rsid w:val="6DE05144"/>
    <w:rsid w:val="6F160B9A"/>
    <w:rsid w:val="6FAF202B"/>
    <w:rsid w:val="6FE94925"/>
    <w:rsid w:val="70540BC6"/>
    <w:rsid w:val="70814FA6"/>
    <w:rsid w:val="715F4C2D"/>
    <w:rsid w:val="72BF60CA"/>
    <w:rsid w:val="7522275B"/>
    <w:rsid w:val="752872FE"/>
    <w:rsid w:val="753811DE"/>
    <w:rsid w:val="75BE67D4"/>
    <w:rsid w:val="75C759C1"/>
    <w:rsid w:val="762D64F3"/>
    <w:rsid w:val="775B4604"/>
    <w:rsid w:val="77C067C3"/>
    <w:rsid w:val="77C6011D"/>
    <w:rsid w:val="78141A2A"/>
    <w:rsid w:val="78911E31"/>
    <w:rsid w:val="795E51DA"/>
    <w:rsid w:val="7A076CB0"/>
    <w:rsid w:val="7A9367CB"/>
    <w:rsid w:val="7AEC3E2E"/>
    <w:rsid w:val="7AF22571"/>
    <w:rsid w:val="7C1C35A7"/>
    <w:rsid w:val="7C45431D"/>
    <w:rsid w:val="7C5B0E57"/>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1"/>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0"/>
    <w:pPr>
      <w:spacing w:after="120"/>
      <w:jc w:val="both"/>
    </w:pPr>
    <w:rPr>
      <w:rFonts w:eastAsia="MS Mincho"/>
      <w:lang w:val="zh-CN"/>
    </w:r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29"/>
    <w:semiHidden/>
    <w:unhideWhenUsed/>
    <w:qFormat/>
    <w:uiPriority w:val="99"/>
    <w:rPr>
      <w:rFonts w:ascii="宋体" w:eastAsia="宋体"/>
      <w:sz w:val="18"/>
      <w:szCs w:val="18"/>
    </w:rPr>
  </w:style>
  <w:style w:type="paragraph" w:styleId="11">
    <w:name w:val="annotation text"/>
    <w:basedOn w:val="1"/>
    <w:semiHidden/>
    <w:unhideWhenUsed/>
    <w:qFormat/>
    <w:uiPriority w:val="99"/>
    <w:pPr>
      <w:jc w:val="left"/>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10"/>
    <w:semiHidden/>
    <w:qFormat/>
    <w:uiPriority w:val="99"/>
    <w:rPr>
      <w:rFonts w:ascii="宋体" w:hAnsi="Times New Roman"/>
      <w:sz w:val="18"/>
      <w:szCs w:val="18"/>
      <w:lang w:eastAsia="en-US"/>
    </w:rPr>
  </w:style>
  <w:style w:type="paragraph" w:customStyle="1" w:styleId="30">
    <w:name w:val="B1"/>
    <w:basedOn w:val="8"/>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9"/>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aragraph"/>
    <w:basedOn w:val="1"/>
    <w:qFormat/>
    <w:uiPriority w:val="0"/>
    <w:pPr>
      <w:spacing w:before="100" w:beforeAutospacing="1" w:after="100" w:afterAutospacing="1"/>
    </w:pPr>
    <w:rPr>
      <w:rFonts w:eastAsia="Times New Roman"/>
      <w:sz w:val="24"/>
      <w:szCs w:val="24"/>
    </w:rPr>
  </w:style>
  <w:style w:type="character" w:customStyle="1" w:styleId="53">
    <w:name w:val="normaltextrun"/>
    <w:basedOn w:val="19"/>
    <w:qFormat/>
    <w:uiPriority w:val="0"/>
  </w:style>
  <w:style w:type="paragraph" w:customStyle="1" w:styleId="54">
    <w:name w:val="B2"/>
    <w:basedOn w:val="7"/>
    <w:qFormat/>
    <w:uiPriority w:val="0"/>
  </w:style>
  <w:style w:type="paragraph" w:customStyle="1" w:styleId="55">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2022-02-14T12:47:29Z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